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47"/>
        <w:gridCol w:w="1047"/>
        <w:gridCol w:w="1047"/>
        <w:gridCol w:w="1046"/>
        <w:gridCol w:w="1046"/>
        <w:gridCol w:w="1047"/>
        <w:gridCol w:w="1047"/>
        <w:gridCol w:w="1047"/>
        <w:gridCol w:w="1047"/>
        <w:gridCol w:w="1046"/>
        <w:gridCol w:w="1046"/>
        <w:gridCol w:w="1046"/>
      </w:tblGrid>
      <w:tr w14:paraId="3895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DF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8"/>
                <w:szCs w:val="38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16EC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61E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D1F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A40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251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15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234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257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76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E1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EF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DF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80E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金额单位：万元</w:t>
            </w:r>
          </w:p>
        </w:tc>
      </w:tr>
      <w:tr w14:paraId="6AE1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单位（专项）名称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资金总额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1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实施期绩效目标</w:t>
            </w:r>
          </w:p>
        </w:tc>
        <w:tc>
          <w:tcPr>
            <w:tcW w:w="94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6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</w:tr>
      <w:tr w14:paraId="53A2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44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88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E10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C2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7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指标值内容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评（扣分标准）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度量单位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3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指标值类型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EB4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053006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3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E9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AC0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A33E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20E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2AA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002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8540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845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FA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AA80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49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41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CD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053006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0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低免开放市级经费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77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低免开放市级经费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DF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成本控制率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02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主要考核项目成本控制率是否达到100%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该指标分值为20分，成本控制率≤100%得满分，低于5%扣1分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2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0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FEF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40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251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B08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D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0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8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0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无社会成本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C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1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5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44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5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5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A0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2E5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C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A07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A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74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8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未涉猎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E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C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B6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D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5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17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F7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5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26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90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费开放展览场次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5D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5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主要考核免费开放的展览场次情况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7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该指标分值为10分，展览场次≥12次得满分，少1次扣2分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6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65B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0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EE2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4B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8E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E1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1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D1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美术馆年游客人数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主要考核美术馆年游客人数情况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C6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该指标分值为5分，美术馆年游客人数≥10万人次得满分，少1万人次扣2分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17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326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66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CD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04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0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1F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作品专业率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C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2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主要考核展览品质情况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93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该指标分值为5分，作品专业率≥100%得满分，每少于5%扣0.5分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E9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0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F84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A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9E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79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91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1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美术馆服务投诉率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E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2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主要考核展馆服务质量情况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D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该指标分值为10分，服务投诉率≤1%得满分，每增加1%扣1分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E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1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43C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A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8A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A1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76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F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B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完成工作及时性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D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B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主要考核在2026年内完成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0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该指标分值为5分，完成工作及时性≥100%得满分，每降低1%扣1分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4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5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9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6BC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A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2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68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7D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4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4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57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年度免费开放时间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B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D3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主要考核免费开放的展览时长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40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该指标分值为5分，展览时长≥1496时得满分，少5小时扣2分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4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30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CD4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D18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D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45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E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效益指标 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1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0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无经济效益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4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74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CB7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3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1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C6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9B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CC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7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FC4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2A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C3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3C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提高当地文化影响力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有效提高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0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主要考核文化影响力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5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该指标分值为10分，影响力率≥10%得满分，每少于5%扣0.5分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53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0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8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3B4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3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A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DA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5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80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9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D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F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13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1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4E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41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83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1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95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8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A5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1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持续免费开放，服务群众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F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持续开放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3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主要考核是否持续免费开放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C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该指标分值为10分，免费开放率≥100%得满分，每少于5%扣0.5分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56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645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27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E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2C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8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3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68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被服务群体满意率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7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A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主要考核社会群众满意度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4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该指标分值为10分，满意率≥95%得满分，每少于5%扣1分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1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D2E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0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053006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A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三馆一站免费开放省级配套资金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C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C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展览开幕的筹备（舞台布置、音响调置、嘉宾观众席布置），展厅效果呈现筹备（陈列布置、灯光效果、展厅音乐调试），展厅日常管理维护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F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成本控制率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主要考核本次展览成本控制率是否达到100%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3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该指标分值为20分，成本控制率≤100%得满分，低于5%扣1分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B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F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36F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0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A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D3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26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3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E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未涉猎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2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F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5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B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A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0D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55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0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C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E3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7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E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未在范围内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2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C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1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A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2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7D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F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6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A6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0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免费开放展览场次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1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主要考核免费开放的展览场次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2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该指标分值为5分，展览场次≥12次得满分，少1次扣2分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4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89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F90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AF2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6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0F1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2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D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A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馆内工作人员数量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6B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主要考核展厅维护人员数量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该指标分值为5分，展厅维护人员≥5人得满分，少1人时扣2分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4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1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F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34F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C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1F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12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55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B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馆内美术作品种类覆盖率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E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D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主要考核展览作品种类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该指标分值为5分，馆内美术作品种类覆盖率≥100%得满分，每少于5%扣0.5分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FE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E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0E1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A5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C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50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D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C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DD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7A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作品专业率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6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主要考核展览品质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该指标分值为10分，作品专业率≥100%得满分，每少于5%扣0.5分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3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B8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217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C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43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2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E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2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完成工作及时性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1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主要考核在2026年内完成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6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该指标分值为5分，完成工作及时性≥100%得满分，超过时效完成扣1分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4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A5B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5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8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3A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E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5C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年度免费开放时间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5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主要考核免费开放的展览时长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B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该指标分值为5分，展览时长≥1496时得满分，少5小时扣2分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11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C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D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840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E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2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79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2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6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效益指标 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D5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无经济效益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32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2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2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0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6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7D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8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896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1AE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12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D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06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提高当地文化影响力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有效提高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主要考核文化影响力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62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该指标分值为10分，影响力率≥10%得满分，每少于5%扣0.5分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CD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E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1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EF6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8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55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64B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76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7D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8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49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7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E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F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4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D1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1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3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DB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8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2B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C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A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持续免费开放，服务群众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持续开放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主要考核是否持续免费开放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4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该指标分值为10分，免费开放率≥100%得满分，每少于5%扣0.5分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0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8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363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55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4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E3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4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被服务群体满意度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2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主要考核社会群众满意度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5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该指标分值为10分，满意率≥95%得满分，每少于5%扣0.5分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D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4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3E8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053006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4D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收藏经费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D7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15.20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收藏有代表性、风格突出的优秀作品，藏品库的日常管理和维护。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E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成本控制率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E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主要考核项目成本控制率是否达到100%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F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该指标分值为20分，成本控制率≤100%得满分，每超过1%扣1分，扣完为止。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6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9AE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77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F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84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D9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3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3E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D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3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7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A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B4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E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C8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DF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0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A36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7A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53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19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A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D0C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7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F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9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8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51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E0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23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69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E8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5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A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7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收藏2-3幅字画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C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收藏2-3幅字画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2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该指标分值为10分，收藏字画数≥2幅得满分，每少于1幅扣5分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F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幅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2D9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2E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9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974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31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2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4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评审会议次数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E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主要考核收藏作品价值评估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该指标分值为5分，评审会议次数≥1次得满分，未开展不得分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9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6E9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BE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D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40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4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97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F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6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作品专业率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A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2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主要考核展览品质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6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该指标分值为5分，作品专业率≥100%次得满分，每少于1次扣0.5分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EC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D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45E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4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4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AE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F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6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DD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9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经费支出合理性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58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支出合理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主要考核收藏作品经费合理支出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4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该指标分值为10分，经费支出会议次数≥1次得满分，每发现1例不合规现象扣2分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55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6A5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3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9C7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C2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5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A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完成工作及时性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6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F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主要考核在2026年内完成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8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该指标分值为10分，完成工作及时性≥100%得满分，超过时效完成扣1分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F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1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C16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FD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3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78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C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效益指标 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0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无经济效益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519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94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62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A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1B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EE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F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A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719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2D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6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促进文化传承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C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有效促进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主要考核文化影响力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该指标分值为10分，文化传承率≥10%得满分，每少于5%扣0.5分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3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9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D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057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9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4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67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FB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C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9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0C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无生态效益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5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8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0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2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58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14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4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26C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AF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2D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每年持续收藏字画服务群众，丰富群众文化生活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6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持续收藏，有效丰富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反映对每年持续收藏字画服务群众，丰富群众文化生活的影响程度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2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该指标分值为10分，效果好得满分，效果一般得5分，效果较差不得分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D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0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8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758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D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D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A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7DE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5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C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被服务群体满意度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C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要考核项目被服务群体满意度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03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该指标分值为10分，满意率≥95%得满分，每降低5%扣1分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C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FC9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B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053006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1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中央补助美术馆免费开放专项资金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38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2025年中央补助美术馆免费开放专项资金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成本控制率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主要考核项目成本控制率情况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0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该指标分值为20分，成本控制率≤100%得满分，每超过5%扣1分，扣完为止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2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0E5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73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B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E5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A9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38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C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未涵盖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D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4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E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5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7A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59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4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54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9E8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D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E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8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未在范围内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1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70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6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8D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0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2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5B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4D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01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A7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7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D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2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7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美术馆年游客人数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58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主要考核美术馆年游客人数情况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该指标分值为5分，美术馆年游客人数≥10万人次得满分，少1万人次扣2分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B8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万人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D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84E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69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D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A9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E2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7D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C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免费开放展览场次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D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主要考核免费开放的展览场次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该指标分值为10分，展览场次≥12次得满分，少一次扣2分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74C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9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5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9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5A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0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3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美术馆服务投诉率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主要考核展馆服务质量情况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该指标分值为10分，服务投诉率≤1%得满分，每增加1%扣1分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F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3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2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3D7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3E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2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BC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D4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6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68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4A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作品专业率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8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主要考核展览品质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2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该指标分值为5分，作品专业率≥100%得满分，每少于5%扣0.5分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E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565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E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E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ED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5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01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1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年度免费开放时间达标率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D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D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主要考核免费开放的展览时长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E2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该指标分值为5分，展览时长≥1496时得满分，少5小时扣2分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B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5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6E6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7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D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CE2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66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F0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A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完成工作及时性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1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主要考核在2026年内完成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该指标分值为5分，完成工作及时性≥100%得满分，超过时效完成扣1分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49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616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96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7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BE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F7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效益指标 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3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8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3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1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3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58E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AC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B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8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9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提高当地文化影响力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有效提高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主要考核文化影响力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5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该指标分值为10分，影响力率≥10%得满分，每少于5%扣0.5分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5F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9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8C2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4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2A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1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4D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B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00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未涉猎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C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8B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DF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34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61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C4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94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51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28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80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0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持续免费开放，服务群众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A6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持续开放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A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主要考核是否持续免费开放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9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该指标分值为10分，免费开放率≥100%得满分，每少于5%扣0.5分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50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8C9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3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5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3A0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9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4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3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被服务群体满意度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主要考核社会群众满意度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8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该指标分值为10分，满意率≥100%得满分，每少于5%扣0.5分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81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4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 w14:paraId="401F831E"/>
    <w:p w14:paraId="60366C31"/>
    <w:p w14:paraId="22348AD4"/>
    <w:p w14:paraId="58DA14A3"/>
    <w:p w14:paraId="5AAA40BD"/>
    <w:p w14:paraId="7D03C67C"/>
    <w:tbl>
      <w:tblPr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05"/>
        <w:gridCol w:w="756"/>
        <w:gridCol w:w="756"/>
        <w:gridCol w:w="707"/>
        <w:gridCol w:w="707"/>
        <w:gridCol w:w="709"/>
        <w:gridCol w:w="756"/>
        <w:gridCol w:w="725"/>
        <w:gridCol w:w="722"/>
        <w:gridCol w:w="707"/>
        <w:gridCol w:w="707"/>
        <w:gridCol w:w="722"/>
        <w:gridCol w:w="707"/>
        <w:gridCol w:w="756"/>
        <w:gridCol w:w="707"/>
        <w:gridCol w:w="723"/>
        <w:gridCol w:w="936"/>
        <w:gridCol w:w="716"/>
      </w:tblGrid>
      <w:tr w14:paraId="205F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FD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整体支出绩效目标表</w:t>
            </w:r>
          </w:p>
        </w:tc>
      </w:tr>
      <w:tr w14:paraId="4434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单位编码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8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1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B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1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整体绩效目标</w:t>
            </w:r>
          </w:p>
        </w:tc>
        <w:tc>
          <w:tcPr>
            <w:tcW w:w="669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部门整体支出年度绩效目标</w:t>
            </w:r>
          </w:p>
        </w:tc>
      </w:tr>
      <w:tr w14:paraId="7E32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AA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136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资金总额</w:t>
            </w:r>
          </w:p>
        </w:tc>
        <w:tc>
          <w:tcPr>
            <w:tcW w:w="2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FC7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ED1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4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3A9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351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4C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20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B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指标值类型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1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指标解释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评（扣）分标准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C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4D5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053006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B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215.49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4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215.49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C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B1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0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150.29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以提升公共文化服务效能和学术影响力为核心，以“精品展览、深度研究、智慧服务、人才强馆”为重点，力争在国家级展览项目申报、学术成果产出、智慧美术馆建设、区域文化引领方面取得新突破，将衡阳市美术馆建设成为湘南地区具有重要影响力的艺术展示、研究与教育中心。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6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3A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9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整体支出成本控制数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6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215.49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1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1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主要考察整体支出成本是否控制在预算金额内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整体支出成本控制数≤215.49万元得满分，每超出1万元扣0.5分，扣完为止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E5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8B0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6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B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B0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7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3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B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5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B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68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A4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8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A3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D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DD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01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3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51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48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B4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74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FF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6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C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4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40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A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3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6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23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D4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40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10D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D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AF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1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18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20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7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1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4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1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4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39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9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48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67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开展省市艺术交流次数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3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主要考察开展省市艺术交流次数情况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7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开展省市艺术交流次数≥1次得满分，未开展不得分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EAA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9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D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F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4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6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5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F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0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79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6D7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AB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88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美术、书法作品展览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46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C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场次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F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举办各种有意义的展览场次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6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展览场次≥12场次得满分，每少1场次扣0.5分，扣完为止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50B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B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8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C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14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84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B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45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3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A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B6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E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收藏作品数量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3C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D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幅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主要考察收藏作品数量情况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13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收藏作品≥3幅得满分，每少1幅扣0.2分，扣完为止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6C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5C3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BE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9C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0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3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C6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28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32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D8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0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F2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E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F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B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美术馆年度游客人数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7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万人次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5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主要考察美术馆年度游客人数情况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5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美术馆年度游客人数≥10万人次得满分，每少2万人次扣0.1分，扣完为止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9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EB3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2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0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C0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B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E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99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0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7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A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65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F5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9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5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馆内工作人员数量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D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4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0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主要考察馆内工作人员数量情况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8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馆内工作人员数量≥7人得满分，每少1人扣0.2分，扣完为止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E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53D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3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7B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59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C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5D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01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F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9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9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9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B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展览品质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0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6F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主要考察展览品质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6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品质优良得满分，品质一般得2.7分，品质较差不得分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1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D8F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D6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D1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1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1D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6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2A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9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F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F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7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7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0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C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藏品品质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1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D2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AB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主要考察馆内藏品质量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质量优良得满分，质量一般得2.7分，质量较差不得分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83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1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31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A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FA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A1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C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B6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1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6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3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7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CD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F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美术馆服务投诉率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7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B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主要考察美术馆服务投诉率情况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93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服务投诉率≤*%得满分，每增加0.1%扣0.1分，扣完为止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3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1C4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1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6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A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6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0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CB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5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04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B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5E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2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72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B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省市艺术交流活动达标率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E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E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5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主要考察省市艺术交流活动达标率情况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5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省市艺术交流活动达标率≥80%得满分，每降低5%扣0.1分，扣完为止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EEA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B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5A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DA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9E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0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AE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8C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F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A1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6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完成工作时效性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6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C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D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主要考察是否在计划的时间内完成任务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1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在规定时间内完成任务得满分，每超出30天扣0.1分，扣完为止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7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A1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EE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A5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9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C1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0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3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6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2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F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B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4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A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9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年度免费开放时间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5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5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主要考核免费开放的展览时长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0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展览时长≥1496小时得满分，每少24小时扣0.1分，扣完为止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5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E2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7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9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3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8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7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8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34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5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AD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E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效益指标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8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4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E7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8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D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AF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9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3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0C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E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4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7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3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9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5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7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2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BC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83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77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0B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丰富群众艺术文化生活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E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E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2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主要考察对丰富群众艺术文化生活的影响情况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该指标分值为10分，效果好得满分，效果一般得8.5分，效果较差不得分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289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6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5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DB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4D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AC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3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2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08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7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A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8D0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B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99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D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C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0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A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61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A3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1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8B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BF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94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31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F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97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0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5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2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3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提高游客文化修养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BB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举办专业级的艺术展览，持续提高游客文化修养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该指标分值为10分，持续提高得满分，否则不得分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EFD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F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B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8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A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73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4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F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7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2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63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9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4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大众满意度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4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D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63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6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主要考察大众对项目工作的满意度情况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该指标分值为10分，满意率≥96%得满分，每降低10%扣1分，扣完为止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3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 w14:paraId="78771DF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3A82"/>
    <w:rsid w:val="343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2026-01-19T09:02:00Z</dcterms:created>
  <dc:creator>xuany</dc:creator>
  <cp:lastModifiedBy>xuany</cp:lastModifiedBy>
  <dcterms:modified xsi:type="dcterms:W3CDTF">2026-01-19T09:05:25Z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67574C25A35D4A88804522C85AFBBB2E_11</vt:lpwstr>
  </property>
  <property fmtid="{D5CDD505-2E9C-101B-9397-08002B2CF9AE}" pid="4" name="KSOTemplateDocerSaveRecord">
    <vt:lpwstr>eyJoZGlkIjoiZjllZWQwOTcwNGJhYTgzOWZmYzEwZTQ2MTIwZjE1MDAiLCJ1c2VySWQiOiI4NjA0MzA5NjMifQ==</vt:lpwstr>
  </property>
</Properties>
</file>